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D3BD0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14:paraId="56260695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4DD3A7AF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“</w:t>
      </w:r>
      <w:r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>
        <w:rPr>
          <w:rFonts w:hint="eastAsia" w:eastAsia="黑体" w:cs="Times New Roman"/>
          <w:b/>
          <w:bCs/>
          <w:sz w:val="44"/>
          <w:szCs w:val="42"/>
          <w:lang w:eastAsia="zh-CN"/>
        </w:rPr>
        <w:t>”</w:t>
      </w:r>
      <w:r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Style w:val="3"/>
        <w:tblW w:w="100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276"/>
        <w:gridCol w:w="1984"/>
        <w:gridCol w:w="1346"/>
        <w:gridCol w:w="3331"/>
      </w:tblGrid>
      <w:tr w14:paraId="59BE9A3F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72C3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14:paraId="1BFD10FA"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3A9E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5C58A">
            <w:pPr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东吴证券股份有限公司</w:t>
            </w:r>
          </w:p>
        </w:tc>
      </w:tr>
      <w:tr w14:paraId="533E2DBF"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37588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C97BE">
            <w:pPr>
              <w:spacing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江苏省苏州市工业园区星阳街5号</w:t>
            </w:r>
          </w:p>
        </w:tc>
      </w:tr>
      <w:tr w14:paraId="61886CD6">
        <w:trPr>
          <w:trHeight w:val="817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E2A8B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329DA">
            <w:pPr>
              <w:spacing w:after="0" w:line="24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东吴证券作为全国性综合类证券公司，高度重视数字化转型与金融科技创新。近年来，公司在人工智能赋能金融业务方面持续投入，大力推动大模型及 Agentic AI 技术在投研、财富管理、合规审计等领域的深层次应用，致力于打造行业领先的数智化金融服务生态，以科技赋能实体经济与资本市场的高质量发展。</w:t>
            </w:r>
          </w:p>
        </w:tc>
      </w:tr>
      <w:tr w14:paraId="0A66AD1B"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E7881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67696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5367B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任川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44A21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6E270">
            <w:pPr>
              <w:spacing w:after="0" w:line="240" w:lineRule="auto"/>
              <w:jc w:val="center"/>
              <w:rPr>
                <w:rFonts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eastAsia="zh-CN"/>
              </w:rPr>
              <w:t>信息技术总部副总经理</w:t>
            </w:r>
          </w:p>
        </w:tc>
      </w:tr>
      <w:tr w14:paraId="5A790A6F">
        <w:trPr>
          <w:trHeight w:val="600" w:hRule="atLeast"/>
          <w:jc w:val="center"/>
        </w:trPr>
        <w:tc>
          <w:tcPr>
            <w:tcW w:w="2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E23A5">
            <w:pPr>
              <w:spacing w:after="0" w:line="240" w:lineRule="auto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1CA0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DD11AC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18610756988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57DB1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450CE">
            <w:pPr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rench@dwzq.com.cn</w:t>
            </w:r>
          </w:p>
        </w:tc>
      </w:tr>
      <w:tr w14:paraId="54A0D708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31A63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14:paraId="7EB839B0">
        <w:trPr>
          <w:trHeight w:val="600" w:hRule="atLeast"/>
          <w:jc w:val="center"/>
        </w:trPr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9C884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A1CE5">
            <w:pPr>
              <w:spacing w:after="0" w:line="24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基于 Agentic AI 的上市公司监管问询概率预测与扫雷预警算法探索</w:t>
            </w:r>
          </w:p>
        </w:tc>
      </w:tr>
      <w:tr w14:paraId="5948FF1D">
        <w:trPr>
          <w:trHeight w:val="600" w:hRule="atLeast"/>
          <w:jc w:val="center"/>
        </w:trPr>
        <w:tc>
          <w:tcPr>
            <w:tcW w:w="2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0ED0C">
            <w:pPr>
              <w:spacing w:after="0" w:line="240" w:lineRule="auto"/>
              <w:jc w:val="center"/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宋体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BD0B9">
            <w:pPr>
              <w:spacing w:after="0" w:line="240" w:lineRule="auto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综合利用上市公司公告、定期报告、监管问询函及回复、财务指标和市场舆情等多源数据，基于大语言模型与 Agentic AI 技术构建自主规划型上市公司扫雷智能体，实现对上市公司未来受到监管问询概率的预测、风险诱因归因及可解释预警报告生成。</w:t>
            </w:r>
          </w:p>
        </w:tc>
      </w:tr>
      <w:tr w14:paraId="136C794B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57085">
            <w:pP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</w:p>
          <w:p w14:paraId="50567BCE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在资本市场投研、合规风控与机构客户服务场景中，上市公司信息披露质量直接影响投资决策、风险定价与客户适当性管理。监管问询函及上市公司回复，是监管机构针对财务异常、经营波动、并购重组、关联交易、担保事项、资金占用、业绩预告偏差、会计处理争议等问题进行穿透式核查的重要公开信号。对于证券公司而言，能否在问询函正式发布前识别潜在“被问询”公司，是上市公司扫雷、负面事件预警和投研风险控制中的关键能力。然而，在实际业务中，上市公司风险识别仍面临以下核心瓶颈：</w:t>
            </w:r>
          </w:p>
          <w:p w14:paraId="47FD8E59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第一，风险线索分散且前兆弱。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上市公司可能在年报、季报、业绩预告、临时公告、交易所互动问答、监管处罚、媒体报道等不同渠道中暴露异常信号，但单一信号往往不构成明确风险，需要结合历史问询案例进行综合研判。</w:t>
            </w:r>
          </w:p>
          <w:p w14:paraId="27C9FDB8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第二，监管问询具有强语义、强场景特征。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监管机构发函并非简单由单一财务指标触发，而是围绕披露逻辑、经营合理性、交易实质、会计处理、资金流向和前后表述一致性进行综合判断。传统规则模型或浅层机器学习方法难以理解“为何被问询”的业务语义。</w:t>
            </w:r>
          </w:p>
          <w:p w14:paraId="79ED97C6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第三，人工扫雷效率低、覆盖范围有限。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投研和风控人员需要持续阅读大量公告与问询回复，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归纳监管关注点，并判断同类风险是否在其他公司中重现。该过程高度依赖专家经验，难以形成全市场、连续化、可复用的预测能力。</w:t>
            </w:r>
          </w:p>
          <w:p w14:paraId="68BF0173">
            <w:pPr>
              <w:spacing w:after="0" w:line="240" w:lineRule="auto"/>
              <w:ind w:firstLine="560" w:firstLineChars="200"/>
              <w:jc w:val="both"/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因此，亟需一套基于大语言模型与 Agentic AI 的上市公司扫雷算法，模拟资深投研与合规专家的“信息检索-线索抽取-风险假设-证据核验-概率预测-归因解释”工作流，以历史监管问询函及回复作为监督依据，提前识别高概率受到监管问询的上市公司，并生成可复核的风险预警说明。</w:t>
            </w:r>
          </w:p>
        </w:tc>
      </w:tr>
      <w:tr w14:paraId="0BC744CF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A8774"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技术攻关问题描述</w:t>
            </w:r>
          </w:p>
          <w:p w14:paraId="0FF133B1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1、复杂信息披露语境下的监管关注点识别与防幻觉推理。如何让大语言模型准确理解公告、年报、问询函及回复中的财务异常、披露矛盾、交易实质和监管关注语义，并避免在长文本、多表格、多公告链路中产生错误归因或无依据推断？</w:t>
            </w:r>
          </w:p>
          <w:p w14:paraId="5DE10DA0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2、历史监管问询样本驱动的被问询概率预测。如何以历史监管问询函及回复作为标签或弱监督依据，将公告文本、财务指标、市场表现、舆情事件、公司治理特征等异构信息转化为可建模特征，预测上市公司在未来窗口期内受到监管问询的概？</w:t>
            </w:r>
          </w:p>
          <w:p w14:paraId="559D4F86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3、Agentic AI 自主规划分析流程的稳定性与可复现性。如何设计多智能体协同机制，使扫雷 Agent 能够自主拆解分析任务、调用公告检索、指标计算、同类案例比对、风险规则核验等 Skill，并在不同样本上保持一致、可追踪、可复现的推理路径？</w:t>
            </w:r>
          </w:p>
          <w:p w14:paraId="3C3BCA00">
            <w:pPr>
              <w:spacing w:after="0" w:line="240" w:lineRule="auto"/>
              <w:ind w:firstLine="560" w:firstLineChars="200"/>
              <w:jc w:val="both"/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4、预测结果的可解释性与业务可用性。上市公司扫雷预警不能仅输出概率分数，还需要说明触发预测的关键风险因素、对应公告证据、相似历史问询案例和模型判断链路。现有黑盒模型难以满足投研、合规和风控人员的复核要求。</w:t>
            </w:r>
          </w:p>
        </w:tc>
      </w:tr>
      <w:tr w14:paraId="7E7D87EF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71303"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</w:p>
          <w:p w14:paraId="1163253B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任务 1：监管问询语料解析与风险关注点抽取</w:t>
            </w:r>
          </w:p>
          <w:p w14:paraId="19FA8820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聚焦解决复杂信息披露语境理解问题，参赛团队需构建面向上市公司公告、年报、监管问询函及回复的长文本解析与风险要素抽取模块，提取监管关注事项、被问询原因、公司回复要点、财务指标异常、披露矛盾、交易事项、会计处理争议等结构化信息，形成可用于建模的监管关注点标签体系与证据片段库。</w:t>
            </w:r>
          </w:p>
          <w:p w14:paraId="486E82BE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任务 2：上市公司被问询概率预测模型</w:t>
            </w:r>
          </w:p>
          <w:p w14:paraId="50529250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针对历史监管问询样本驱动</w:t>
            </w:r>
            <w:bookmarkStart w:id="0" w:name="_GoBack"/>
            <w:bookmarkEnd w:id="0"/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的预测问题，参赛团队需构建预测模型或多模型集成框架，融合公告语义特征、财务异常特征、股价与成交异动、舆情热度、历史问询记录、行业与公司治理特征等信息，预测上市公司在未来 30/60/90 天内受到交易所或监管机构问询的概率，并输出风险等级排序。</w:t>
            </w:r>
          </w:p>
          <w:p w14:paraId="272D55D6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任务 3：自主规划型扫雷 Agent 与 Skill 编排</w:t>
            </w:r>
          </w:p>
          <w:p w14:paraId="2F273410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围绕 Agentic AI 分析流程稳定性问题，参赛团队需设计多智能体协作架构，例如公告研读 Agent、财务异常检测 Agent、监管案例检索 Agent、预测建模 Agent、归因解释 Agent 等，并将公告检索、问询案例匹配、财务指标计算、风险模板生成等能力封装为可复用 Skill，实现从输入公司列表到输出扫雷结果的自动化 Pipeline。</w:t>
            </w:r>
          </w:p>
          <w:p w14:paraId="3B9A90AF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任务 4：可解释预警报告与复核工具</w:t>
            </w:r>
          </w:p>
          <w:p w14:paraId="4F4B165E">
            <w:pPr>
              <w:spacing w:after="0" w:line="240" w:lineRule="auto"/>
              <w:ind w:firstLine="560" w:firstLineChars="200"/>
              <w:jc w:val="both"/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面向业务可用性，参赛团队需构建可解释输出机制，生成单公司或批量公司的监管问询概率、风险标签、主要诱因、相似历史案例、原文证据、预测窗口和模型置信度，并提供可运行的原型系统、API 服务或主流 Agentic AI 工具中可挂载的 Skill，支持投研与风控人员复核。</w:t>
            </w:r>
          </w:p>
        </w:tc>
      </w:tr>
      <w:tr w14:paraId="7CF3C6A5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CB1A"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现有基础</w:t>
            </w:r>
          </w:p>
          <w:p w14:paraId="7974A9F5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技术与平台储备：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命题单位在金融 AI 领域具有深厚积累，自主研发的企业级 AIaaS 平台已具备底层算力调度、主流开源/闭源大模型接入、模型训练、微调与评测能力，可支撑上市公司信息披露文本理解、风险识别与预测模型验证。</w:t>
            </w:r>
          </w:p>
          <w:p w14:paraId="66B9724B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Agentic AI 架构基础：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目前已在内部深入研发以“推理-行动-观察-反思”为核心的多智能体协同架构，在合规、审计、投研等复杂金融场景的自动化巡检与逻辑问答中进行了初步验证，积累了 Agent 框架搭建、工具调用、Skill 挂载、任务编排和推理日志追踪经验。</w:t>
            </w:r>
          </w:p>
          <w:p w14:paraId="10BB1C00">
            <w:pPr>
              <w:spacing w:after="0" w:line="240" w:lineRule="auto"/>
              <w:ind w:firstLine="562" w:firstLineChars="200"/>
              <w:jc w:val="both"/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数据资源沉淀：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已具备上市公司公告、定期报告、监管问询函及回复、基础行情、财务指标和公开舆情等数据的整理基础，可围绕历史监管问询事件构建训练集与测试集。现阶段仍需进一步提升长文本风险语义抽取、问询概率预测精度、跨公司同类案例迁移和可解释报告生成能力。</w:t>
            </w:r>
          </w:p>
        </w:tc>
      </w:tr>
      <w:tr w14:paraId="3F9A8FF1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18B59">
            <w:pP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任务目标</w:t>
            </w:r>
          </w:p>
          <w:p w14:paraId="28F0DA40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构建一套基于 Agentic AI 的上市公司扫雷预警系统，实现对上市公司未来受到监管问询概率的方向性预测、风险诱因归因和可解释报告生成。总体目标如下：</w:t>
            </w:r>
          </w:p>
          <w:p w14:paraId="06902310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</w:p>
          <w:p w14:paraId="09662CBF">
            <w:pPr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技术指标 - 监管问询概率预测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：</w:t>
            </w:r>
          </w:p>
          <w:p w14:paraId="5C9942ED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在给定测试集样本中，预测上市公司未来 60 天内受到监管问询的 AUC ≥ 0.75。</w:t>
            </w:r>
          </w:p>
          <w:p w14:paraId="2D8C0112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Top 10% 高风险公司覆盖真实问询样本比例 ≥ 35%</w:t>
            </w:r>
          </w:p>
          <w:p w14:paraId="0B3A33C9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问询/未问询二分类预测 F1-Score ≥ 0.65。</w:t>
            </w:r>
          </w:p>
          <w:p w14:paraId="231569B4">
            <w:pPr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技术指标 - 风险语义抽取与归因：</w:t>
            </w:r>
          </w:p>
          <w:p w14:paraId="301BF0B8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监管关注点分类准确率 ≥ 80%。</w:t>
            </w:r>
          </w:p>
          <w:p w14:paraId="725C6983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关键证据片段召回率 ≥ 85%。</w:t>
            </w:r>
          </w:p>
          <w:p w14:paraId="31E796CD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相似历史问询案例匹配 Top-5 命中率 ≥ 70%。</w:t>
            </w:r>
          </w:p>
          <w:p w14:paraId="4A0FB879">
            <w:pPr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技术指标 - 系统性能与可解释性：</w:t>
            </w:r>
          </w:p>
          <w:p w14:paraId="02414E6D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Agent 推理链路、工具调用记录和证据来源可追踪率 100%。</w:t>
            </w:r>
          </w:p>
          <w:p w14:paraId="7DD0E9BD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逻辑解释有效性（由专家评委或 LLM 辅助评审对归因链条进行打分）≥ 85 分。</w:t>
            </w:r>
          </w:p>
          <w:p w14:paraId="3165C8BD">
            <w:pPr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成果交付：</w:t>
            </w:r>
          </w:p>
          <w:p w14:paraId="6B25D516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包含数据处理、特征构建、问询概率预测、Agent 编排与报告生成的完整项目源代码（含环境配置与运行脚本），或者在主流 Agentic AI 工具中可用的上市公司扫雷 Skill。</w:t>
            </w:r>
          </w:p>
          <w:p w14:paraId="067C1424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可运行的扫雷预警原型系统或 API 服务，支持输入公司代码/公司列表并输出预测结果。</w:t>
            </w:r>
          </w:p>
          <w:p w14:paraId="7D8A4D99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测试集预测结果数据表、Agent 推理日志、关键证据片段和典型案例分析报告。</w:t>
            </w:r>
          </w:p>
          <w:p w14:paraId="47E85D95">
            <w:pPr>
              <w:numPr>
                <w:ilvl w:val="0"/>
                <w:numId w:val="1"/>
              </w:numPr>
              <w:spacing w:after="0" w:line="240" w:lineRule="auto"/>
              <w:ind w:left="840" w:leftChars="0" w:hanging="420" w:firstLineChars="0"/>
              <w:jc w:val="both"/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项目技术答辩 PPT、算法架构设计说明文档、模型评估报告和部署说明文档。</w:t>
            </w:r>
          </w:p>
        </w:tc>
      </w:tr>
      <w:tr w14:paraId="6E8E6969">
        <w:trPr>
          <w:trHeight w:val="600" w:hRule="atLeast"/>
          <w:jc w:val="center"/>
        </w:trPr>
        <w:tc>
          <w:tcPr>
            <w:tcW w:w="1006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DB540">
            <w:pP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黑体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</w:p>
          <w:p w14:paraId="3108907D">
            <w:pPr>
              <w:spacing w:after="0" w:line="240" w:lineRule="auto"/>
              <w:ind w:firstLine="560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比赛专用上市公司信息披露与监管问询数据集（选取中国 A 股市场某连续 5 年历史区间，隐去真实年份或进行必要脱敏处理）：</w:t>
            </w:r>
          </w:p>
          <w:p w14:paraId="195AC83E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监管问询函及回复数据集：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约 1,000-3,000 份交易所问询函、关注函、年报问询函及上市公司回复文本。包含公司代码、公告日期、问询类型、问询事项、回复日期、问询问题文本、回复文本、监管关注点标签等。</w:t>
            </w:r>
          </w:p>
          <w:p w14:paraId="6A596748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上市公司公告与定期报告数据集：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约 30,000-50,000 份定期报告、业绩预告、重大事项公告、并购重组公告、关联交易公告、担保公告等文本材料。包含公告日期、公告类型、公司代码、标题、摘要、正文。</w:t>
            </w:r>
          </w:p>
          <w:p w14:paraId="2212BDB7">
            <w:pPr>
              <w:spacing w:after="0" w:line="240" w:lineRule="auto"/>
              <w:ind w:firstLine="562" w:firstLineChars="200"/>
              <w:jc w:val="both"/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结构化财务与市场特征数据集：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覆盖样本公司同期财务指标、利润表/资产负债表/现金流量表摘要、估值指标、行业分类、市值规模、历史监管记录等字段。</w:t>
            </w:r>
          </w:p>
          <w:p w14:paraId="74A38FF3">
            <w:pPr>
              <w:spacing w:after="0" w:line="240" w:lineRule="auto"/>
              <w:ind w:firstLine="562" w:firstLineChars="200"/>
              <w:jc w:val="both"/>
            </w:pPr>
            <w:r>
              <w:rPr>
                <w:rFonts w:hint="eastAsia" w:ascii="Times New Roman" w:hAnsi="Times New Roman" w:eastAsia="仿宋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标签与评测数据集：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以历史监管问询发生情况作为预测标签，按时间切分训练集、验证集和测试集，建议比例为 7:1:2；同时提供部分人工标注的监管关注点、风险诱因、证据片段和相似案例参考答案，用于评估语义抽取、归因解释和案例匹配能力。</w:t>
            </w:r>
          </w:p>
        </w:tc>
      </w:tr>
    </w:tbl>
    <w:p w14:paraId="5C2EAE68">
      <w:pPr>
        <w:rPr>
          <w:lang w:eastAsia="zh-CN"/>
        </w:rPr>
      </w:pPr>
    </w:p>
    <w:sectPr>
      <w:pgSz w:w="11906" w:h="16838"/>
      <w:pgMar w:top="1134" w:right="850" w:bottom="1134" w:left="1701" w:header="709" w:footer="70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altName w:val="华文黑体"/>
    <w:panose1 w:val="020B0502000000000001"/>
    <w:charset w:val="86"/>
    <w:family w:val="auto"/>
    <w:pitch w:val="default"/>
    <w:sig w:usb0="00000000" w:usb1="00000000" w:usb2="00000036" w:usb3="00000000" w:csb0="203F01FF" w:csb1="D7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altName w:val="苹方-简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华文黑体">
    <w:panose1 w:val="02010600040101010101"/>
    <w:charset w:val="86"/>
    <w:family w:val="auto"/>
    <w:pitch w:val="default"/>
    <w:sig w:usb0="00000287" w:usb1="080F0000" w:usb2="00000000" w:usb3="00000000" w:csb0="0004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仿宋">
    <w:altName w:val="仿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FE9563"/>
    <w:multiLevelType w:val="singleLevel"/>
    <w:tmpl w:val="F9FE956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Wingdings" w:hAnsi="Wingdings" w:cs="Wingdings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E8E"/>
    <w:rsid w:val="002F4E8E"/>
    <w:rsid w:val="00913D29"/>
    <w:rsid w:val="00FC0FF6"/>
    <w:rsid w:val="4FAE3986"/>
    <w:rsid w:val="5FEF523D"/>
    <w:rsid w:val="7FEFD299"/>
    <w:rsid w:val="CEFE1071"/>
    <w:rsid w:val="CFE7A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  <w:lang w:val="zh-CN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'1.0' encoding='UTF-8' standalone='yes'?>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50</Words>
  <Characters>291</Characters>
  <Lines>2</Lines>
  <Paragraphs>1</Paragraphs>
  <TotalTime>51</TotalTime>
  <ScaleCrop>false</ScaleCrop>
  <LinksUpToDate>false</LinksUpToDate>
  <CharactersWithSpaces>340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2026-04-17T19:07:00Z</dcterms:created>
  <dc:creator>李昊骅 南京大学</dc:creator>
  <cp:lastModifiedBy>XuZhiyu</cp:lastModifiedBy>
  <dcterms:modified xsi:type="dcterms:W3CDTF">2026-04-24T17:04:01Z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30DDF08394E7084E6D22EB6974D2E1C1_43</vt:lpwstr>
  </property>
</Properties>
</file>